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1/2026/AusbFahrradstrOst-L3/VOB-öA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bau Fahrradstraße; Los 3 - Landschaftsbauarbeiten Waldsaum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bau Fahrradstraße; Gewerk: Landschaftsbauarbeiten (Ausgleichsmaßnahme) - Waldsaum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